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ED1C" w14:textId="16353659" w:rsidR="008271CB" w:rsidRDefault="008271CB" w:rsidP="008271CB">
      <w:pPr>
        <w:spacing w:after="0" w:line="480" w:lineRule="auto"/>
        <w:jc w:val="center"/>
        <w:rPr>
          <w:rFonts w:ascii="Times New Roman" w:hAnsi="Times New Roman" w:cs="Times New Roman"/>
          <w:sz w:val="24"/>
          <w:szCs w:val="24"/>
        </w:rPr>
      </w:pPr>
    </w:p>
    <w:p w14:paraId="1272A9AF" w14:textId="53E45EA3" w:rsidR="00861BBC" w:rsidRDefault="00861BBC" w:rsidP="008271CB">
      <w:pPr>
        <w:spacing w:after="0" w:line="480" w:lineRule="auto"/>
        <w:jc w:val="center"/>
        <w:rPr>
          <w:rFonts w:ascii="Times New Roman" w:hAnsi="Times New Roman" w:cs="Times New Roman"/>
          <w:sz w:val="24"/>
          <w:szCs w:val="24"/>
        </w:rPr>
      </w:pPr>
    </w:p>
    <w:p w14:paraId="7B0F78AA" w14:textId="1B950FB7" w:rsidR="00861BBC" w:rsidRDefault="00861BBC" w:rsidP="008271CB">
      <w:pPr>
        <w:spacing w:after="0" w:line="480" w:lineRule="auto"/>
        <w:jc w:val="center"/>
        <w:rPr>
          <w:rFonts w:ascii="Times New Roman" w:hAnsi="Times New Roman" w:cs="Times New Roman"/>
          <w:sz w:val="24"/>
          <w:szCs w:val="24"/>
        </w:rPr>
      </w:pPr>
    </w:p>
    <w:p w14:paraId="40889FFE" w14:textId="546EBC2C" w:rsidR="00861BBC" w:rsidRDefault="00861BBC" w:rsidP="008271CB">
      <w:pPr>
        <w:spacing w:after="0" w:line="480" w:lineRule="auto"/>
        <w:jc w:val="center"/>
        <w:rPr>
          <w:rFonts w:ascii="Times New Roman" w:hAnsi="Times New Roman" w:cs="Times New Roman"/>
          <w:sz w:val="24"/>
          <w:szCs w:val="24"/>
        </w:rPr>
      </w:pPr>
    </w:p>
    <w:p w14:paraId="3735C937" w14:textId="257505AB" w:rsidR="00861BBC" w:rsidRDefault="00861BBC" w:rsidP="008271CB">
      <w:pPr>
        <w:spacing w:after="0" w:line="480" w:lineRule="auto"/>
        <w:jc w:val="center"/>
        <w:rPr>
          <w:rFonts w:ascii="Times New Roman" w:hAnsi="Times New Roman" w:cs="Times New Roman"/>
          <w:sz w:val="24"/>
          <w:szCs w:val="24"/>
        </w:rPr>
      </w:pPr>
    </w:p>
    <w:p w14:paraId="15673DED" w14:textId="34BF678B" w:rsidR="00861BBC" w:rsidRDefault="00861BBC" w:rsidP="008271CB">
      <w:pPr>
        <w:spacing w:after="0" w:line="480" w:lineRule="auto"/>
        <w:jc w:val="center"/>
        <w:rPr>
          <w:rFonts w:ascii="Times New Roman" w:hAnsi="Times New Roman" w:cs="Times New Roman"/>
          <w:sz w:val="24"/>
          <w:szCs w:val="24"/>
        </w:rPr>
      </w:pPr>
    </w:p>
    <w:p w14:paraId="2DF40D0C" w14:textId="06A55F21" w:rsidR="00861BBC" w:rsidRDefault="00861BBC" w:rsidP="008271CB">
      <w:pPr>
        <w:spacing w:after="0" w:line="480" w:lineRule="auto"/>
        <w:jc w:val="center"/>
        <w:rPr>
          <w:rFonts w:ascii="Times New Roman" w:hAnsi="Times New Roman" w:cs="Times New Roman"/>
          <w:sz w:val="24"/>
          <w:szCs w:val="24"/>
        </w:rPr>
      </w:pPr>
    </w:p>
    <w:p w14:paraId="113F1955" w14:textId="77777777" w:rsidR="00861BBC" w:rsidRDefault="00861BBC" w:rsidP="008271CB">
      <w:pPr>
        <w:spacing w:after="0" w:line="480" w:lineRule="auto"/>
        <w:jc w:val="center"/>
        <w:rPr>
          <w:rFonts w:ascii="Times New Roman" w:hAnsi="Times New Roman" w:cs="Times New Roman"/>
          <w:sz w:val="24"/>
          <w:szCs w:val="24"/>
        </w:rPr>
      </w:pPr>
    </w:p>
    <w:p w14:paraId="5D6D3844" w14:textId="1A59780B" w:rsidR="008271CB" w:rsidRDefault="00C72037" w:rsidP="008271CB">
      <w:pPr>
        <w:spacing w:after="0" w:line="480" w:lineRule="auto"/>
        <w:jc w:val="center"/>
        <w:rPr>
          <w:rFonts w:ascii="Times New Roman" w:hAnsi="Times New Roman" w:cs="Times New Roman"/>
          <w:sz w:val="24"/>
          <w:szCs w:val="24"/>
        </w:rPr>
      </w:pPr>
      <w:r w:rsidRPr="00C72037">
        <w:rPr>
          <w:rFonts w:ascii="Times New Roman" w:hAnsi="Times New Roman" w:cs="Times New Roman"/>
          <w:sz w:val="24"/>
          <w:szCs w:val="24"/>
        </w:rPr>
        <w:t xml:space="preserve">Institutions </w:t>
      </w:r>
      <w:r>
        <w:rPr>
          <w:rFonts w:ascii="Times New Roman" w:hAnsi="Times New Roman" w:cs="Times New Roman"/>
          <w:sz w:val="24"/>
          <w:szCs w:val="24"/>
        </w:rPr>
        <w:t>i</w:t>
      </w:r>
      <w:r w:rsidRPr="00C72037">
        <w:rPr>
          <w:rFonts w:ascii="Times New Roman" w:hAnsi="Times New Roman" w:cs="Times New Roman"/>
          <w:sz w:val="24"/>
          <w:szCs w:val="24"/>
        </w:rPr>
        <w:t>n Gender Socialization</w:t>
      </w:r>
    </w:p>
    <w:p w14:paraId="42147486" w14:textId="77777777" w:rsidR="008271CB" w:rsidRDefault="008271CB" w:rsidP="008271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1DDACB8" w14:textId="5A0A1E34" w:rsidR="008271CB" w:rsidRDefault="008271CB" w:rsidP="00861BB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61BBC">
        <w:rPr>
          <w:rFonts w:ascii="Times New Roman" w:hAnsi="Times New Roman" w:cs="Times New Roman"/>
          <w:sz w:val="24"/>
          <w:szCs w:val="24"/>
        </w:rPr>
        <w:t>s</w:t>
      </w:r>
    </w:p>
    <w:p w14:paraId="17325449" w14:textId="77777777" w:rsidR="00861BBC" w:rsidRDefault="00861BBC" w:rsidP="008271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37F831" w14:textId="10653F19" w:rsidR="008271CB" w:rsidRPr="008271CB" w:rsidRDefault="00C72037" w:rsidP="008271CB">
      <w:pPr>
        <w:spacing w:after="0" w:line="480" w:lineRule="auto"/>
        <w:jc w:val="center"/>
        <w:rPr>
          <w:rFonts w:ascii="Times New Roman" w:hAnsi="Times New Roman" w:cs="Times New Roman"/>
          <w:sz w:val="24"/>
          <w:szCs w:val="24"/>
        </w:rPr>
      </w:pPr>
      <w:r w:rsidRPr="00C72037">
        <w:rPr>
          <w:rFonts w:ascii="Times New Roman" w:hAnsi="Times New Roman" w:cs="Times New Roman"/>
          <w:sz w:val="24"/>
          <w:szCs w:val="24"/>
        </w:rPr>
        <w:lastRenderedPageBreak/>
        <w:t xml:space="preserve">Institutions </w:t>
      </w:r>
      <w:r>
        <w:rPr>
          <w:rFonts w:ascii="Times New Roman" w:hAnsi="Times New Roman" w:cs="Times New Roman"/>
          <w:sz w:val="24"/>
          <w:szCs w:val="24"/>
        </w:rPr>
        <w:t>i</w:t>
      </w:r>
      <w:r w:rsidRPr="00C72037">
        <w:rPr>
          <w:rFonts w:ascii="Times New Roman" w:hAnsi="Times New Roman" w:cs="Times New Roman"/>
          <w:sz w:val="24"/>
          <w:szCs w:val="24"/>
        </w:rPr>
        <w:t>n Gender Socialization</w:t>
      </w:r>
    </w:p>
    <w:p w14:paraId="2E39587A" w14:textId="33A116AF" w:rsidR="008271CB" w:rsidRPr="008271CB" w:rsidRDefault="008271CB" w:rsidP="008271CB">
      <w:pPr>
        <w:spacing w:after="0" w:line="480" w:lineRule="auto"/>
        <w:ind w:firstLine="720"/>
        <w:rPr>
          <w:rFonts w:ascii="Times New Roman" w:hAnsi="Times New Roman" w:cs="Times New Roman"/>
          <w:sz w:val="24"/>
          <w:szCs w:val="24"/>
        </w:rPr>
      </w:pPr>
      <w:r w:rsidRPr="008271CB">
        <w:rPr>
          <w:rFonts w:ascii="Times New Roman" w:hAnsi="Times New Roman" w:cs="Times New Roman"/>
          <w:sz w:val="24"/>
          <w:szCs w:val="24"/>
        </w:rPr>
        <w:t>Socialization refers to the process in which an individual internalizes the society’s values so as to enable him or her to adapt to the cultural setting. Gender socialization, therefore, is the influence on the society’s values on how an individual behaves as either male or female. Some of the main agents of gender socialization include institutions like family, school</w:t>
      </w:r>
      <w:bookmarkStart w:id="0" w:name="_GoBack"/>
      <w:bookmarkEnd w:id="0"/>
      <w:r w:rsidRPr="008271CB">
        <w:rPr>
          <w:rFonts w:ascii="Times New Roman" w:hAnsi="Times New Roman" w:cs="Times New Roman"/>
          <w:sz w:val="24"/>
          <w:szCs w:val="24"/>
        </w:rPr>
        <w:t xml:space="preserve"> and media. </w:t>
      </w:r>
    </w:p>
    <w:p w14:paraId="690410B7" w14:textId="77777777" w:rsidR="008271CB" w:rsidRPr="008271CB" w:rsidRDefault="008271CB" w:rsidP="008271CB">
      <w:pPr>
        <w:spacing w:after="0" w:line="480" w:lineRule="auto"/>
        <w:jc w:val="center"/>
        <w:rPr>
          <w:rFonts w:ascii="Times New Roman" w:hAnsi="Times New Roman" w:cs="Times New Roman"/>
          <w:b/>
          <w:sz w:val="24"/>
          <w:szCs w:val="24"/>
        </w:rPr>
      </w:pPr>
      <w:r w:rsidRPr="008271CB">
        <w:rPr>
          <w:rFonts w:ascii="Times New Roman" w:hAnsi="Times New Roman" w:cs="Times New Roman"/>
          <w:b/>
          <w:sz w:val="24"/>
          <w:szCs w:val="24"/>
        </w:rPr>
        <w:t>Family Institution</w:t>
      </w:r>
    </w:p>
    <w:p w14:paraId="5C0238DC" w14:textId="77777777" w:rsidR="008271CB" w:rsidRPr="008271CB" w:rsidRDefault="008271CB" w:rsidP="008271CB">
      <w:pPr>
        <w:spacing w:after="0" w:line="480" w:lineRule="auto"/>
        <w:ind w:firstLine="720"/>
        <w:rPr>
          <w:rFonts w:ascii="Times New Roman" w:hAnsi="Times New Roman" w:cs="Times New Roman"/>
          <w:sz w:val="24"/>
          <w:szCs w:val="24"/>
        </w:rPr>
      </w:pPr>
      <w:r w:rsidRPr="008271CB">
        <w:rPr>
          <w:rFonts w:ascii="Times New Roman" w:hAnsi="Times New Roman" w:cs="Times New Roman"/>
          <w:sz w:val="24"/>
          <w:szCs w:val="24"/>
        </w:rPr>
        <w:t xml:space="preserve">Family practices are believed to have a strong influence on the gender socialization, especially, through the way in which the parents treat and interact with their children as well as the adults’ relationships (Coman, 2016). Through the way parents treat their children; for instance, through gender biased perceptions affect the way children adapt to gender features. From the contemporary perspective, the discourse of parents regarding particular gender expressions can influence their children to identify with femininity or masculinity. For example, when a parent tells his or her child that girls are the only ones who cry and boys toughen is one way to influence gender roles. This will give the child if he is a boy the impression that boys should always be aggressive while for girls, they should always be soft and emotional. </w:t>
      </w:r>
    </w:p>
    <w:p w14:paraId="5C4C3DD7" w14:textId="77777777" w:rsidR="008271CB" w:rsidRPr="008271CB" w:rsidRDefault="008271CB" w:rsidP="008271CB">
      <w:pPr>
        <w:spacing w:after="0" w:line="480" w:lineRule="auto"/>
        <w:jc w:val="center"/>
        <w:rPr>
          <w:rFonts w:ascii="Times New Roman" w:hAnsi="Times New Roman" w:cs="Times New Roman"/>
          <w:b/>
          <w:sz w:val="24"/>
          <w:szCs w:val="24"/>
        </w:rPr>
      </w:pPr>
      <w:r w:rsidRPr="008271CB">
        <w:rPr>
          <w:rFonts w:ascii="Times New Roman" w:hAnsi="Times New Roman" w:cs="Times New Roman"/>
          <w:b/>
          <w:sz w:val="24"/>
          <w:szCs w:val="24"/>
        </w:rPr>
        <w:t>School Institution</w:t>
      </w:r>
    </w:p>
    <w:p w14:paraId="73ED4CD9" w14:textId="77777777" w:rsidR="008271CB" w:rsidRPr="008271CB" w:rsidRDefault="008271CB" w:rsidP="008271CB">
      <w:pPr>
        <w:spacing w:after="0" w:line="480" w:lineRule="auto"/>
        <w:ind w:firstLine="720"/>
        <w:rPr>
          <w:rFonts w:ascii="Times New Roman" w:hAnsi="Times New Roman" w:cs="Times New Roman"/>
          <w:sz w:val="24"/>
          <w:szCs w:val="24"/>
        </w:rPr>
      </w:pPr>
      <w:r w:rsidRPr="008271CB">
        <w:rPr>
          <w:rFonts w:ascii="Times New Roman" w:hAnsi="Times New Roman" w:cs="Times New Roman"/>
          <w:sz w:val="24"/>
          <w:szCs w:val="24"/>
        </w:rPr>
        <w:t xml:space="preserve">Based on Coppock and colleagues’ study, Coman (2016) argues that school is one of the key institutions that facilitate gender stereotypes, especially through the way teachers treat their students. According to Coman (2016), teachers’ expectations towards different genders among students affect their socialization. For instance, when teachers become focused more on boys, Coman (2016) believes that it places the boys’ students at an advantageous position than their female counterparts. In contemporary society, such influence in school can be seen through the way teachers appreciate certain gender than the other. For instance, when teachers appreciate the </w:t>
      </w:r>
      <w:r w:rsidRPr="008271CB">
        <w:rPr>
          <w:rFonts w:ascii="Times New Roman" w:hAnsi="Times New Roman" w:cs="Times New Roman"/>
          <w:sz w:val="24"/>
          <w:szCs w:val="24"/>
        </w:rPr>
        <w:lastRenderedPageBreak/>
        <w:t xml:space="preserve">achievement of boys more than the girls’ achievements it produces a certain reference to the members of each group. Coman (2016) explains that such attitudes children can learn to begin to belong to a certain gender as they begin to produce features that reference that group. Further, despite that both genders have the same capabilities in terms of intellectual capabilities; Coman (2016) argues that gender stereotypes in schools affect the achievement of girls and boys differently. According to Coman (2016), girls often relates to their academic failure with lack of abilities. </w:t>
      </w:r>
    </w:p>
    <w:p w14:paraId="71AA28AD" w14:textId="77777777" w:rsidR="008271CB" w:rsidRPr="008271CB" w:rsidRDefault="008271CB" w:rsidP="008271CB">
      <w:pPr>
        <w:spacing w:after="0" w:line="480" w:lineRule="auto"/>
        <w:jc w:val="center"/>
        <w:rPr>
          <w:rFonts w:ascii="Times New Roman" w:hAnsi="Times New Roman" w:cs="Times New Roman"/>
          <w:b/>
          <w:sz w:val="24"/>
          <w:szCs w:val="24"/>
        </w:rPr>
      </w:pPr>
      <w:r w:rsidRPr="008271CB">
        <w:rPr>
          <w:rFonts w:ascii="Times New Roman" w:hAnsi="Times New Roman" w:cs="Times New Roman"/>
          <w:b/>
          <w:sz w:val="24"/>
          <w:szCs w:val="24"/>
        </w:rPr>
        <w:t>Media Institution</w:t>
      </w:r>
    </w:p>
    <w:p w14:paraId="27E75AD4" w14:textId="77777777" w:rsidR="008271CB" w:rsidRPr="008271CB" w:rsidRDefault="008271CB" w:rsidP="008271CB">
      <w:pPr>
        <w:spacing w:after="0" w:line="480" w:lineRule="auto"/>
        <w:ind w:firstLine="720"/>
        <w:rPr>
          <w:rFonts w:ascii="Times New Roman" w:hAnsi="Times New Roman" w:cs="Times New Roman"/>
          <w:sz w:val="24"/>
          <w:szCs w:val="24"/>
        </w:rPr>
      </w:pPr>
      <w:r w:rsidRPr="008271CB">
        <w:rPr>
          <w:rFonts w:ascii="Times New Roman" w:hAnsi="Times New Roman" w:cs="Times New Roman"/>
          <w:sz w:val="24"/>
          <w:szCs w:val="24"/>
        </w:rPr>
        <w:t xml:space="preserve">According to Coman (2016), media, as a gender socialization institution promotes positive enforcement of gender inequalities across all the ages. However, the female gender is more exposed to stereotype than the male gender in the media. For instance, in most cases, the woman’s vulnerability, through family violence, is explored across different media like films and TV shows. In contemporary society, most of the TV shows such as Soap operas depict how women are confined to household chores and showing that women are incapable of doing things that are not related to house chores. As Coman (2016) explains, the women’s vulnerabilities are also exposed to the male aggression explored in art and mass media, which further encourages female gender victimization. Most of the films, even those produced today are rampant with violent scenes, which according to Coman (2016), intends to encourage the patriarchal system which depicts man as powerful and dominant. </w:t>
      </w:r>
    </w:p>
    <w:p w14:paraId="5D6B2738" w14:textId="03884504" w:rsidR="008271CB" w:rsidRDefault="008271CB" w:rsidP="00861BBC">
      <w:pPr>
        <w:spacing w:after="0" w:line="480" w:lineRule="auto"/>
        <w:ind w:firstLine="720"/>
        <w:rPr>
          <w:rFonts w:ascii="Times New Roman" w:hAnsi="Times New Roman" w:cs="Times New Roman"/>
          <w:sz w:val="24"/>
          <w:szCs w:val="24"/>
        </w:rPr>
      </w:pPr>
      <w:r w:rsidRPr="008271CB">
        <w:rPr>
          <w:rFonts w:ascii="Times New Roman" w:hAnsi="Times New Roman" w:cs="Times New Roman"/>
          <w:sz w:val="24"/>
          <w:szCs w:val="24"/>
        </w:rPr>
        <w:t>Therefore, based on this assessment, gender socialization is influenced by many factors including school, media, and family. The way people interact and socialize through these institutions affect the categorization of what it means to be male or female.</w:t>
      </w:r>
    </w:p>
    <w:p w14:paraId="76EACB1F" w14:textId="77777777" w:rsidR="00861BBC" w:rsidRDefault="00861BBC" w:rsidP="008271CB">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72CC6FC6" w14:textId="418A6FAB" w:rsidR="008271CB" w:rsidRPr="008271CB" w:rsidRDefault="008271CB" w:rsidP="008271CB">
      <w:pPr>
        <w:spacing w:after="0" w:line="480" w:lineRule="auto"/>
        <w:ind w:left="720" w:hanging="720"/>
        <w:jc w:val="center"/>
        <w:rPr>
          <w:rFonts w:ascii="Times New Roman" w:hAnsi="Times New Roman" w:cs="Times New Roman"/>
          <w:sz w:val="24"/>
          <w:szCs w:val="24"/>
        </w:rPr>
      </w:pPr>
      <w:r w:rsidRPr="008271CB">
        <w:rPr>
          <w:rFonts w:ascii="Times New Roman" w:hAnsi="Times New Roman" w:cs="Times New Roman"/>
          <w:sz w:val="24"/>
          <w:szCs w:val="24"/>
        </w:rPr>
        <w:lastRenderedPageBreak/>
        <w:t>Reference</w:t>
      </w:r>
    </w:p>
    <w:p w14:paraId="27E8F65E" w14:textId="77777777" w:rsidR="008271CB" w:rsidRPr="008271CB" w:rsidRDefault="008271CB" w:rsidP="008271CB">
      <w:pPr>
        <w:spacing w:after="0" w:line="480" w:lineRule="auto"/>
        <w:ind w:left="720" w:hanging="720"/>
        <w:rPr>
          <w:rFonts w:ascii="Times New Roman" w:hAnsi="Times New Roman" w:cs="Times New Roman"/>
          <w:sz w:val="24"/>
          <w:szCs w:val="24"/>
        </w:rPr>
      </w:pPr>
      <w:r w:rsidRPr="008271CB">
        <w:rPr>
          <w:rFonts w:ascii="Times New Roman" w:hAnsi="Times New Roman" w:cs="Times New Roman"/>
          <w:sz w:val="24"/>
          <w:szCs w:val="24"/>
          <w:shd w:val="clear" w:color="auto" w:fill="FFFFFF"/>
        </w:rPr>
        <w:t>Coman, A. (2016). A Broader Perspective of Gender Socialization Across Four Social Institutions. </w:t>
      </w:r>
      <w:r w:rsidRPr="008271CB">
        <w:rPr>
          <w:rFonts w:ascii="Times New Roman" w:hAnsi="Times New Roman" w:cs="Times New Roman"/>
          <w:i/>
          <w:iCs/>
          <w:sz w:val="24"/>
          <w:szCs w:val="24"/>
          <w:shd w:val="clear" w:color="auto" w:fill="FFFFFF"/>
        </w:rPr>
        <w:t>Bulletin of the Transilvania University of Brasov. Series VII: Social Sciences. Law</w:t>
      </w:r>
      <w:r w:rsidRPr="008271CB">
        <w:rPr>
          <w:rFonts w:ascii="Times New Roman" w:hAnsi="Times New Roman" w:cs="Times New Roman"/>
          <w:sz w:val="24"/>
          <w:szCs w:val="24"/>
          <w:shd w:val="clear" w:color="auto" w:fill="FFFFFF"/>
        </w:rPr>
        <w:t>, </w:t>
      </w:r>
      <w:r w:rsidRPr="008271CB">
        <w:rPr>
          <w:rFonts w:ascii="Times New Roman" w:hAnsi="Times New Roman" w:cs="Times New Roman"/>
          <w:i/>
          <w:iCs/>
          <w:sz w:val="24"/>
          <w:szCs w:val="24"/>
          <w:shd w:val="clear" w:color="auto" w:fill="FFFFFF"/>
        </w:rPr>
        <w:t>9</w:t>
      </w:r>
      <w:r w:rsidRPr="008271CB">
        <w:rPr>
          <w:rFonts w:ascii="Times New Roman" w:hAnsi="Times New Roman" w:cs="Times New Roman"/>
          <w:sz w:val="24"/>
          <w:szCs w:val="24"/>
          <w:shd w:val="clear" w:color="auto" w:fill="FFFFFF"/>
        </w:rPr>
        <w:t>(2). Retrieved from https://www.researchgate.net/publication/312955024_A_broader_perspective_of_gender_socialization_across_four_social_institutions</w:t>
      </w:r>
    </w:p>
    <w:sectPr w:rsidR="008271CB" w:rsidRPr="008271CB" w:rsidSect="008271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7DE72" w14:textId="77777777" w:rsidR="004173EF" w:rsidRDefault="004173EF" w:rsidP="008271CB">
      <w:pPr>
        <w:spacing w:after="0" w:line="240" w:lineRule="auto"/>
      </w:pPr>
      <w:r>
        <w:separator/>
      </w:r>
    </w:p>
  </w:endnote>
  <w:endnote w:type="continuationSeparator" w:id="0">
    <w:p w14:paraId="2BBC9037" w14:textId="77777777" w:rsidR="004173EF" w:rsidRDefault="004173EF" w:rsidP="00827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240B8" w14:textId="77777777" w:rsidR="004173EF" w:rsidRDefault="004173EF" w:rsidP="008271CB">
      <w:pPr>
        <w:spacing w:after="0" w:line="240" w:lineRule="auto"/>
      </w:pPr>
      <w:r>
        <w:separator/>
      </w:r>
    </w:p>
  </w:footnote>
  <w:footnote w:type="continuationSeparator" w:id="0">
    <w:p w14:paraId="4D6FD723" w14:textId="77777777" w:rsidR="004173EF" w:rsidRDefault="004173EF" w:rsidP="00827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74409" w14:textId="3CC8AA26" w:rsidR="008271CB" w:rsidRPr="00C72037" w:rsidRDefault="00C72037" w:rsidP="008271CB">
    <w:pPr>
      <w:pStyle w:val="Header"/>
      <w:rPr>
        <w:rFonts w:ascii="Times New Roman" w:hAnsi="Times New Roman" w:cs="Times New Roman"/>
      </w:rPr>
    </w:pPr>
    <w:r w:rsidRPr="00C72037">
      <w:rPr>
        <w:rFonts w:ascii="Times New Roman" w:hAnsi="Times New Roman" w:cs="Times New Roman"/>
      </w:rPr>
      <w:t>INSTITUTIONS IN GENDER SOCIALIZATION</w:t>
    </w:r>
    <w:r w:rsidR="008271CB" w:rsidRPr="00C72037">
      <w:rPr>
        <w:rFonts w:ascii="Times New Roman" w:hAnsi="Times New Roman" w:cs="Times New Roman"/>
      </w:rPr>
      <w:tab/>
    </w:r>
    <w:r w:rsidR="008271CB" w:rsidRPr="00C72037">
      <w:rPr>
        <w:rFonts w:ascii="Times New Roman" w:hAnsi="Times New Roman" w:cs="Times New Roman"/>
      </w:rPr>
      <w:tab/>
    </w:r>
    <w:r w:rsidR="008271CB" w:rsidRPr="00C72037">
      <w:rPr>
        <w:rFonts w:ascii="Times New Roman" w:hAnsi="Times New Roman" w:cs="Times New Roman"/>
      </w:rPr>
      <w:fldChar w:fldCharType="begin"/>
    </w:r>
    <w:r w:rsidR="008271CB" w:rsidRPr="00C72037">
      <w:rPr>
        <w:rFonts w:ascii="Times New Roman" w:hAnsi="Times New Roman" w:cs="Times New Roman"/>
      </w:rPr>
      <w:instrText xml:space="preserve"> PAGE   \* MERGEFORMAT </w:instrText>
    </w:r>
    <w:r w:rsidR="008271CB" w:rsidRPr="00C72037">
      <w:rPr>
        <w:rFonts w:ascii="Times New Roman" w:hAnsi="Times New Roman" w:cs="Times New Roman"/>
      </w:rPr>
      <w:fldChar w:fldCharType="separate"/>
    </w:r>
    <w:r w:rsidR="008271CB" w:rsidRPr="00C72037">
      <w:rPr>
        <w:rFonts w:ascii="Times New Roman" w:hAnsi="Times New Roman" w:cs="Times New Roman"/>
        <w:noProof/>
      </w:rPr>
      <w:t>2</w:t>
    </w:r>
    <w:r w:rsidR="008271CB" w:rsidRPr="00C72037">
      <w:rPr>
        <w:rFonts w:ascii="Times New Roman" w:hAnsi="Times New Roman" w:cs="Times New Roman"/>
        <w:noProof/>
      </w:rPr>
      <w:fldChar w:fldCharType="end"/>
    </w:r>
  </w:p>
  <w:p w14:paraId="1369C16C" w14:textId="77777777" w:rsidR="008271CB" w:rsidRDefault="00827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9EDC" w14:textId="0C1629C3" w:rsidR="008271CB" w:rsidRPr="00C87CE4" w:rsidRDefault="008271CB">
    <w:pPr>
      <w:pStyle w:val="Header"/>
      <w:rPr>
        <w:rFonts w:ascii="Times New Roman" w:hAnsi="Times New Roman" w:cs="Times New Roman"/>
      </w:rPr>
    </w:pPr>
    <w:r w:rsidRPr="00C87CE4">
      <w:rPr>
        <w:rFonts w:ascii="Times New Roman" w:hAnsi="Times New Roman" w:cs="Times New Roman"/>
      </w:rPr>
      <w:t>Running head:</w:t>
    </w:r>
    <w:r w:rsidR="00C87CE4" w:rsidRPr="00C87CE4">
      <w:rPr>
        <w:rFonts w:ascii="Times New Roman" w:hAnsi="Times New Roman" w:cs="Times New Roman"/>
      </w:rPr>
      <w:t> </w:t>
    </w:r>
    <w:bookmarkStart w:id="1" w:name="_Hlk531607149"/>
    <w:r w:rsidR="00C87CE4" w:rsidRPr="00C87CE4">
      <w:rPr>
        <w:rFonts w:ascii="Times New Roman" w:hAnsi="Times New Roman" w:cs="Times New Roman"/>
      </w:rPr>
      <w:t>INSTITUTIONS IN GENDER SOCIALIZATION</w:t>
    </w:r>
    <w:bookmarkEnd w:id="1"/>
    <w:r w:rsidRPr="00C87CE4">
      <w:rPr>
        <w:rFonts w:ascii="Times New Roman" w:hAnsi="Times New Roman" w:cs="Times New Roman"/>
      </w:rPr>
      <w:tab/>
    </w:r>
    <w:r w:rsidRPr="00C87CE4">
      <w:rPr>
        <w:rFonts w:ascii="Times New Roman" w:hAnsi="Times New Roman" w:cs="Times New Roman"/>
      </w:rPr>
      <w:fldChar w:fldCharType="begin"/>
    </w:r>
    <w:r w:rsidRPr="00C87CE4">
      <w:rPr>
        <w:rFonts w:ascii="Times New Roman" w:hAnsi="Times New Roman" w:cs="Times New Roman"/>
      </w:rPr>
      <w:instrText xml:space="preserve"> PAGE   \* MERGEFORMAT </w:instrText>
    </w:r>
    <w:r w:rsidRPr="00C87CE4">
      <w:rPr>
        <w:rFonts w:ascii="Times New Roman" w:hAnsi="Times New Roman" w:cs="Times New Roman"/>
      </w:rPr>
      <w:fldChar w:fldCharType="separate"/>
    </w:r>
    <w:r w:rsidRPr="00C87CE4">
      <w:rPr>
        <w:rFonts w:ascii="Times New Roman" w:hAnsi="Times New Roman" w:cs="Times New Roman"/>
        <w:noProof/>
      </w:rPr>
      <w:t>1</w:t>
    </w:r>
    <w:r w:rsidRPr="00C87CE4">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FAA"/>
    <w:rsid w:val="00261FAA"/>
    <w:rsid w:val="004173EF"/>
    <w:rsid w:val="004D298F"/>
    <w:rsid w:val="008271CB"/>
    <w:rsid w:val="00861BBC"/>
    <w:rsid w:val="00C72037"/>
    <w:rsid w:val="00C87CE4"/>
    <w:rsid w:val="00D4028D"/>
    <w:rsid w:val="00E32A24"/>
    <w:rsid w:val="00F6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CC4A"/>
  <w15:docId w15:val="{F5792AA3-8185-463E-B66F-E307CB706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1CB"/>
  </w:style>
  <w:style w:type="paragraph" w:styleId="Footer">
    <w:name w:val="footer"/>
    <w:basedOn w:val="Normal"/>
    <w:link w:val="FooterChar"/>
    <w:uiPriority w:val="99"/>
    <w:unhideWhenUsed/>
    <w:rsid w:val="00827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2018-12-03T04:39:00Z</dcterms:created>
  <dcterms:modified xsi:type="dcterms:W3CDTF">2018-12-03T10:32:00Z</dcterms:modified>
</cp:coreProperties>
</file>